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331</w:t>
      </w:r>
    </w:p>
    <w:p>
      <w:r>
        <w:t>Bundesgericht (BGE), 2009-02-11, DE</w:t>
      </w:r>
    </w:p>
    <w:p>
      <w:r>
        <w:rPr>
          <w:b/>
        </w:rPr>
        <w:t xml:space="preserve">Quelle: </w:t>
      </w:r>
      <w:r>
        <w:t>https://mcp.opencaselaw.ch/entscheid/bge_139 V 331</w:t>
      </w:r>
    </w:p>
    <w:p>
      <w:r>
        <w:t>FR: ATF 139 V 331</w:t>
      </w:r>
    </w:p>
    <w:p>
      <w:r>
        <w:t>IT: DTF 139 V 331</w:t>
      </w:r>
    </w:p>
    <w:p>
      <w:pPr>
        <w:pStyle w:val="Heading2"/>
      </w:pPr>
      <w:r>
        <w:t>Regeste</w:t>
      </w:r>
    </w:p>
    <w:p>
      <w:r>
        <w:t>Regeste Art. 20 Abs. 2 und 3 UVG; Art. 32 Abs. 2 UVV; Komplementärrente. Keine analoge Anwendung von Art. 32 Abs. 2 UVV auf den Fall, in welchem der eine Invalidenrente begründende Unfall (wenn auch nur kurz) vor dem die Hinterlassenenrente der AHV auslösenden Ereignis stattgefunden hat (Bestätigung der Rechtsprechung; E. 4).</w:t>
      </w:r>
    </w:p>
    <w:p>
      <w:pPr>
        <w:pStyle w:val="Heading2"/>
      </w:pPr>
      <w:r>
        <w:t>Erwägungen</w:t>
      </w:r>
    </w:p>
    <w:p>
      <w:r>
        <w:rPr>
          <w:b/>
        </w:rPr>
        <w:t>E. 2</w:t>
      </w:r>
    </w:p>
    <w:p>
      <w:r>
        <w:t>Streitig und zu prüfen ist einzig, ob die Berechnung der Komplementärrente durch SUVA und Vorinstanz zutreffend ist resp. ob diese Art. 32 Abs. 2 UVV (SR 832.202) zu Recht nicht - auch nicht in analoger Weise - angewandt haben.</w:t>
      </w:r>
    </w:p>
    <w:p>
      <w:r>
        <w:rPr>
          <w:b/>
        </w:rPr>
        <w:t>E. 3</w:t>
      </w:r>
    </w:p>
    <w:p>
      <w:r>
        <w:t>Einer versicherten Person, welche eine Rente der Invalidenversicherung (IV) oder der Alters- und Hinterlassenenversicherung (AHV) bezieht, wird die Invalidenrente der Unfallversicherung (UV) als Komplementärrente ausgerichtet; diese entspricht in Abweichung von Art. 69 ATSG (SR 830.1) der Differenz zwischen 90 Prozent des versicherten Verdienstes und der Rente der IV resp. der AHV ( Art. 20 Abs. 2 UVG ). Gemäss Art. 20 Abs. 3 UVG erlässt der Bundesrat die näheren Vorschriften dazu. Dabei kommt ihm ein weiter Ermessensspielraum zu ( BGE 115 V 275 E. 3b/bb S. 282; SVR 2009 UV Nr. 55 S. 194, 8C_607/2008 E. 2.2). Nach Art. 32 Abs. 2 UVV wird nur die Differenz zwischen der vor dem Unfall gewährten Rente und der neuen Leistung in die Berechnung miteinbezogen, wenn infolge eines Unfalls eine Rente der IV erhöht oder eine Hinterlassenenrente der AHV durch eine Rente der IV abgelöst wird. Diese Norm ist in Fällen, in welchen der Unfall vor dem die Hinterlassenenrente der AHV auslösenden Ereignis stattgefunden hat, nicht BGE 139 V 331 S. 333 analog anwendbar, da keine vom Gericht auszufüllende Lücke besteht (SVR 2009 UV Nr. 55 S. 194, 8C_607/2008 E. 2).</w:t>
      </w:r>
    </w:p>
    <w:p>
      <w:r>
        <w:rPr>
          <w:b/>
        </w:rPr>
        <w:t>E. 4.1</w:t>
      </w:r>
    </w:p>
    <w:p>
      <w:r>
        <w:t>Die Versicherte macht geltend, eine korrekt vorgenommene Auslegung der Norm spreche für die direkte Anwendung von Art. 32 Abs. 2 UVV . Die Vorinstanz verletze somit Bundesrecht ( Art. 95 lit. a BGG ). Entgegen der Ansicht der Versicherten ist die Auslegung von Art. 32 Abs. 2 UVV durch die Vorinstanz nicht zu beanstanden. Namentlich schliesst der Wortlaut die in der Rechtsprechung vertretene Auffassung des Art. 32 Abs. 2 UVV nicht aus, sondern bestätigt sie (SVR 2009 UV Nr. 55 S. 194, 8C_607/2008 E. 2.3 in fine). So liegt im hier zu beurteilenden Fall der Unfallzeitpunkt, welcher zur Invalidität führte, vor dem Ableben des Ehemannes, so dass der Sachverhalt nicht unter den Tatbestand von Art. 32 Abs. 2 UVV fällt. Daran ändert der Umstand nichts, dass der Beginn der Hinterlassenenrente der AHV (ab 1. November 2008) vor jenem der Invalidenrente der IV (ab 1. Januar 2010) liegt. Art. 32 Abs. 2 UVV nennt als Kriterium denn auch explizit den Unfall und nicht den Zeitpunkt des Rentenbeginns. Unzutreffend ist die Ansicht der Versicherten, wonach die Vorinstanz die Verwitwung ebenfalls zu den Unfallfolgen zähle; vielmehr hält sie diese ausdrücklich als unfallfremden Faktor fest, so dass auf die entsprechenden Ausführungen über die teleologische Auslegung nicht weiter einzugehen ist. Ebenfalls nicht stichhaltig sind die Ausführungen zur historischen Auslegung, da gemäss Rechtsprechung der Gesetzgeber den Unfallzeitpunkt als massgebendes Kriterium für die Anwendung des Art. 32 Abs. 2 UVV betrachtet (SVR 2009 UV Nr. 55 S. 194, 8C_607/2008 E. 2.3 in fine; vgl. auch RKUV 1997 S. 50), was - wie oben erwähnt - auch seine Stütze im Wortlaut findet; die Einwände der Versicherten vermögen daran nichts zu ändern.</w:t>
      </w:r>
    </w:p>
    <w:p>
      <w:r>
        <w:rPr>
          <w:b/>
        </w:rPr>
        <w:t>E. 4.2</w:t>
      </w:r>
    </w:p>
    <w:p>
      <w:r>
        <w:t>Weiter beruft sie sich darauf, dass der Unfall nur teilkausal für die Zusprechung der IV-Rente sei; dies ergebe sich auch aus der Stellungnahme des regionalen ärztlichen Dienstes der IV (RAD) vom 7. April 2011, wonach eine vorbestehende psychische Störung massgebend sei. Die Schlussfolgerung der Vorinstanz, die IV-Rente sei alleine aus unfallbedingten Gründen zugesprochen worden, sei somit eine offensichtlich unrichtige Sachverhaltsfeststellung im Sinne von Art. 97 Abs. 2 BGG . BGE 139 V 331 S. 334 Die Argumentation der Versicherten ist widersprüchlich. Angesichts der funktionell nur geringgradigen Einschränkungen (vgl. Berichte des Kreisarztes vom 30. März 2011 sowie des Dr. med. K., Facharzt für Psychiatrie und Psychotherapie, SUVA, vom 9. März 2011) stünde ihr keine Invalidenrente der UV im zugesprochenen Ausmass (Invaliditätsgrad von 100 %) zu, wenn die invalidisierenden psychischen Einschränkungen nicht massgeblich auf das Ereignis vom 31. Oktober 2008 zurückzuführen wären. Bei einem rechtlich relevanten Vorbestehen dieser Beschwerden wäre jedoch eine allfällige Kürzung nach Art. 36 Abs. 2 UVG zu prüfen. In diesem Zusammenhang ist weiter zu beachten, dass die IV-Stelle ihr erst ab 1. Januar 2010 eine Invalidenrente zusprach, was auch nicht für ein rechtlich relevantes Vorbestehen der psychischen Einschränkungen spricht. Somit kann die Versicherte aus der Stellungnahme des RAD vom 7. April 2011 nichts zu ihren Gunsten ableiten.</w:t>
      </w:r>
    </w:p>
    <w:p>
      <w:r>
        <w:rPr>
          <w:b/>
        </w:rPr>
        <w:t>E. 4.3</w:t>
      </w:r>
    </w:p>
    <w:p>
      <w:r>
        <w:t>Zudem rügt die Versicherte, die verneinte analoge Anwendung von Art. 32 Abs. 2 UVV stelle eine Verletzung des Gleichbehandlungsgebots von Art. 8 BV sowie eine Verletzung des Willkürverbots von Art. 9 BV dar. Sofern ein vernünftiger Grund für eine Ungleichbehandlung gegeben ist, liegt keine Verletzung des Gleichbehandlungsgebots vor; dabei kommt dem Gesetzgeber ein weiter Gestaltungsspielraum zu (BGE 136 I E. 4.1 S. 5; 135 V 361 E. 5.4.1 S. 369 ; 134 I 23 E. 9.1 S. 42 mit Hinweisen). Der Anknüpfungspunkt des Unfalldatums stellt einen sachlichen Grund in diesem Sinne dar, welcher im Gegensatz zum Beginn der Invalidenrenten nicht beeinflussbar ist resp. nicht von Zufälligkeiten abhängt. Die Beschwerdeführerin legt nicht dar, inwiefern dieser sachliche Grund unvernünftig sein soll. Somit ist eine unzulässige Ungleichbehandlung von Sachverhalten, bei welchen die Verwitwung vor dem Unfall liegt, mit jenen, in welchen diese erst nach dem Unfallereignis eintrat, zu verneinen. Inwiefern eine Verletzung des Willkürverbots gegeben sein soll, begründet die Versicherte nicht, so dass gemäss Art. 106 Abs. 2 BGG nicht weiter darauf einzugehen ist.</w:t>
      </w:r>
    </w:p>
    <w:p>
      <w:r>
        <w:rPr>
          <w:b/>
        </w:rPr>
        <w:t>E. 4.4</w:t>
      </w:r>
    </w:p>
    <w:p>
      <w:r>
        <w:t>Nachdem die Nichtanwendung des Art. 32 Abs. 2 UVV nicht zu beanstanden ist und im Übrigen weder Einwände gegen die betragsmässige Festsetzung der Komplementärrente erhoben werden noch Anhaltspunkte ersichtlich sind, wonach diese unzutreffend wäre, hat es bei der von der SUVA verfügten und von der Vorinstanz bestätigten Komplementärrente von Fr. 2'515.05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